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8"/>
          <w:szCs w:val="28"/>
          <w:rtl w:val="0"/>
        </w:rPr>
        <w:t xml:space="preserve">Looking Ahead to His Reward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Hebrews 11:23-31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Key verse 26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“He regarded disgrace for the sake of Christ as of greater value than </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the treasures of Egypt, because he was looking ahead to his reward.”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verses 23-26. How did Moses’ parents display their faith? (23) What does Moses’ refusal to be known as the son of Pharaoh’s daughter mean? (24) What kind of life did he choose to live by faith? (25) What prompted Moses to make such a decision? (26)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verses 27-29. What enabled Moses to leave Egypt along with his people? (27) What was the significance of keeping the Passover? (28) When passing through the red sea, what happened to the Israelites in contrast to the Egyptians? (29) How can we apply this to our own lives?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verses 30-31. How did the army destroy the walls of Jericho? (30a; Jos 6:12-20) How can we apply this to our life of faith? (30b) How is Rahab’s faith marked? (31; Jos 2:1, 9-14; 6:22-25; Mt 1:5)</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