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2 Peter 3:10-18</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3:10</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i w:val="1"/>
          <w:color w:val="ff0000"/>
          <w:sz w:val="24"/>
          <w:szCs w:val="24"/>
          <w:highlight w:val="white"/>
        </w:rPr>
      </w:pPr>
      <w:r w:rsidDel="00000000" w:rsidR="00000000" w:rsidRPr="00000000">
        <w:rPr>
          <w:i w:val="1"/>
          <w:color w:val="ff0000"/>
          <w:sz w:val="24"/>
          <w:szCs w:val="24"/>
          <w:highlight w:val="white"/>
          <w:rtl w:val="0"/>
        </w:rPr>
        <w:t xml:space="preserve">“But the day of the Lord will come like a thief. The heavens will disappear with a roar; the elements will be destroyed by fire, and the earth and everything done in it will be laid bare.”</w:t>
      </w:r>
    </w:p>
    <w:p w:rsidR="00000000" w:rsidDel="00000000" w:rsidP="00000000" w:rsidRDefault="00000000" w:rsidRPr="00000000" w14:paraId="00000007">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Read verses 10-12. How will the day of the Lord come? (10) What will happen to the heavens and the earth? (10, 12b) How should the believers live based on God’s judgment? (11-12a) </w:t>
      </w:r>
    </w:p>
    <w:p w:rsidR="00000000" w:rsidDel="00000000" w:rsidP="00000000" w:rsidRDefault="00000000" w:rsidRPr="00000000" w14:paraId="0000000C">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Read verses 13-16. What promise were the believers looking forward to? (13) How should they live based on this promise? (14) Why did they need to bear in mind that God’s patience means salvation? (15, Rom. 2:1-4) Why did some people distort Paul’s letters and what would happen to them? (16, 2 Pet. 2:1)</w:t>
      </w:r>
    </w:p>
    <w:p w:rsidR="00000000" w:rsidDel="00000000" w:rsidP="00000000" w:rsidRDefault="00000000" w:rsidRPr="00000000" w14:paraId="00000011">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Read verses 17-18. How should the believers respond to Paul’s warnings? How could they grow in the grace and knowledge of Jesus Christ? (18; 1 Pet. 2:2) Why did Peter end his letter by giving glory to Jesus Christ?</w:t>
      </w:r>
    </w:p>
    <w:p w:rsidR="00000000" w:rsidDel="00000000" w:rsidP="00000000" w:rsidRDefault="00000000" w:rsidRPr="00000000" w14:paraId="00000016">
      <w:pPr>
        <w:spacing w:line="240" w:lineRule="auto"/>
        <w:ind w:left="0" w:firstLine="0"/>
        <w:rPr>
          <w:sz w:val="24"/>
          <w:szCs w:val="24"/>
          <w:highlight w:val="whit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THE DAY OF THE LORD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